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7D" w:rsidRDefault="0099127D" w:rsidP="0099127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бюджетное общеобразовательное учреждение             « Начальная школа – детский сад № 30» городского округа Мытищи.</w:t>
      </w:r>
    </w:p>
    <w:p w:rsidR="0099127D" w:rsidRDefault="0099127D" w:rsidP="0099127D">
      <w:pPr>
        <w:jc w:val="center"/>
        <w:rPr>
          <w:rFonts w:ascii="Arial" w:hAnsi="Arial" w:cs="Arial"/>
        </w:rPr>
      </w:pPr>
    </w:p>
    <w:p w:rsidR="0099127D" w:rsidRDefault="0099127D" w:rsidP="0099127D">
      <w:pPr>
        <w:jc w:val="center"/>
        <w:rPr>
          <w:rFonts w:ascii="Arial" w:hAnsi="Arial" w:cs="Arial"/>
          <w:sz w:val="28"/>
          <w:szCs w:val="28"/>
        </w:rPr>
      </w:pPr>
    </w:p>
    <w:p w:rsidR="0099127D" w:rsidRDefault="0099127D" w:rsidP="0099127D">
      <w:pPr>
        <w:jc w:val="center"/>
        <w:rPr>
          <w:rFonts w:ascii="Arial" w:hAnsi="Arial" w:cs="Arial"/>
          <w:sz w:val="28"/>
          <w:szCs w:val="28"/>
        </w:rPr>
      </w:pPr>
    </w:p>
    <w:p w:rsidR="0099127D" w:rsidRDefault="0099127D" w:rsidP="00991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                                 </w:t>
      </w:r>
      <w:r>
        <w:rPr>
          <w:color w:val="000000"/>
          <w:sz w:val="48"/>
          <w:szCs w:val="48"/>
        </w:rPr>
        <w:t>Доклад на тему:</w:t>
      </w:r>
      <w:r w:rsidRPr="0099127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99127D" w:rsidRDefault="0099127D" w:rsidP="00991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Pr="00262F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ИНТЕЛЛЕКТУАЛЬНАЯ ГОТОВНОСТЬ ДОШКОЛЬНИКОВ К ШКОЛЬНОМУ ОБУЧЕНИЮ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  <w:r w:rsidRPr="00262F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99127D" w:rsidRDefault="0099127D" w:rsidP="0099127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99127D" w:rsidRDefault="0099127D" w:rsidP="0099127D">
      <w:pPr>
        <w:pStyle w:val="a3"/>
        <w:spacing w:before="0" w:beforeAutospacing="0" w:after="150" w:afterAutospacing="0"/>
        <w:rPr>
          <w:b/>
          <w:color w:val="000000"/>
          <w:sz w:val="32"/>
          <w:szCs w:val="32"/>
        </w:rPr>
      </w:pPr>
    </w:p>
    <w:p w:rsidR="0099127D" w:rsidRDefault="0099127D" w:rsidP="00991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b/>
          <w:bCs/>
          <w:color w:val="000000"/>
          <w:sz w:val="36"/>
          <w:szCs w:val="36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             </w:t>
      </w:r>
      <w:r>
        <w:rPr>
          <w:rStyle w:val="c4"/>
          <w:b/>
          <w:bCs/>
          <w:color w:val="000000"/>
          <w:sz w:val="36"/>
          <w:szCs w:val="36"/>
        </w:rPr>
        <w:t xml:space="preserve">  </w:t>
      </w:r>
    </w:p>
    <w:p w:rsidR="0099127D" w:rsidRDefault="0099127D" w:rsidP="0099127D">
      <w:pPr>
        <w:rPr>
          <w:rFonts w:ascii="Arial" w:hAnsi="Arial" w:cs="Arial"/>
          <w:sz w:val="28"/>
          <w:szCs w:val="28"/>
        </w:rPr>
      </w:pPr>
    </w:p>
    <w:p w:rsidR="0099127D" w:rsidRDefault="0099127D" w:rsidP="0099127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99127D" w:rsidRDefault="0099127D" w:rsidP="0099127D">
      <w:pPr>
        <w:jc w:val="center"/>
        <w:rPr>
          <w:rFonts w:ascii="Arial" w:hAnsi="Arial" w:cs="Arial"/>
          <w:sz w:val="28"/>
          <w:szCs w:val="28"/>
        </w:rPr>
      </w:pPr>
    </w:p>
    <w:p w:rsidR="0099127D" w:rsidRDefault="0099127D" w:rsidP="0099127D">
      <w:pPr>
        <w:jc w:val="center"/>
        <w:rPr>
          <w:rFonts w:ascii="Arial" w:hAnsi="Arial" w:cs="Arial"/>
          <w:sz w:val="28"/>
          <w:szCs w:val="28"/>
        </w:rPr>
      </w:pPr>
    </w:p>
    <w:p w:rsidR="0099127D" w:rsidRDefault="0099127D" w:rsidP="0099127D">
      <w:pPr>
        <w:jc w:val="center"/>
        <w:rPr>
          <w:rFonts w:ascii="Arial" w:hAnsi="Arial" w:cs="Arial"/>
        </w:rPr>
      </w:pPr>
    </w:p>
    <w:p w:rsidR="0099127D" w:rsidRDefault="0099127D" w:rsidP="0099127D">
      <w:pPr>
        <w:jc w:val="center"/>
        <w:rPr>
          <w:rFonts w:ascii="Arial" w:hAnsi="Arial" w:cs="Arial"/>
        </w:rPr>
      </w:pPr>
    </w:p>
    <w:p w:rsidR="0099127D" w:rsidRDefault="0099127D" w:rsidP="0099127D">
      <w:pPr>
        <w:jc w:val="center"/>
        <w:rPr>
          <w:rFonts w:ascii="Arial" w:hAnsi="Arial" w:cs="Arial"/>
        </w:rPr>
      </w:pPr>
    </w:p>
    <w:p w:rsidR="0099127D" w:rsidRDefault="0099127D" w:rsidP="0099127D">
      <w:pPr>
        <w:jc w:val="center"/>
        <w:rPr>
          <w:rFonts w:ascii="Arial" w:hAnsi="Arial" w:cs="Arial"/>
        </w:rPr>
      </w:pPr>
    </w:p>
    <w:p w:rsidR="0099127D" w:rsidRDefault="0099127D" w:rsidP="0099127D">
      <w:pPr>
        <w:jc w:val="center"/>
        <w:rPr>
          <w:rFonts w:ascii="Arial" w:hAnsi="Arial" w:cs="Arial"/>
        </w:rPr>
      </w:pPr>
    </w:p>
    <w:p w:rsidR="0099127D" w:rsidRDefault="0099127D" w:rsidP="0099127D">
      <w:pPr>
        <w:jc w:val="center"/>
        <w:rPr>
          <w:rFonts w:ascii="Arial" w:hAnsi="Arial" w:cs="Arial"/>
        </w:rPr>
      </w:pPr>
    </w:p>
    <w:p w:rsidR="0099127D" w:rsidRDefault="0099127D" w:rsidP="0099127D">
      <w:pPr>
        <w:jc w:val="center"/>
        <w:rPr>
          <w:rFonts w:ascii="Arial" w:hAnsi="Arial" w:cs="Arial"/>
        </w:rPr>
      </w:pPr>
    </w:p>
    <w:p w:rsidR="0099127D" w:rsidRDefault="0099127D" w:rsidP="0099127D">
      <w:pPr>
        <w:jc w:val="center"/>
        <w:rPr>
          <w:rFonts w:ascii="Arial" w:hAnsi="Arial" w:cs="Arial"/>
        </w:rPr>
      </w:pPr>
    </w:p>
    <w:p w:rsidR="0099127D" w:rsidRDefault="0099127D" w:rsidP="00991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28.08.2020г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99127D" w:rsidRDefault="0099127D" w:rsidP="0099127D">
      <w:pPr>
        <w:jc w:val="center"/>
        <w:rPr>
          <w:rFonts w:ascii="Arial" w:hAnsi="Arial" w:cs="Arial"/>
        </w:rPr>
      </w:pPr>
    </w:p>
    <w:p w:rsidR="0099127D" w:rsidRDefault="0099127D" w:rsidP="00991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</w:p>
    <w:p w:rsidR="0099127D" w:rsidRDefault="0099127D" w:rsidP="00991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с. Федоскино</w:t>
      </w:r>
    </w:p>
    <w:p w:rsidR="0099127D" w:rsidRDefault="0099127D" w:rsidP="00991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             </w:t>
      </w:r>
    </w:p>
    <w:p w:rsidR="0099127D" w:rsidRDefault="0099127D" w:rsidP="00262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62F50" w:rsidRDefault="00262F50" w:rsidP="00262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Доклад</w:t>
      </w:r>
    </w:p>
    <w:p w:rsidR="00262F50" w:rsidRDefault="00262F50" w:rsidP="00262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62F50" w:rsidRDefault="00262F50" w:rsidP="00262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Pr="00262F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ИНТЕЛЛЕКТУАЛЬНАЯ ГОТОВНОСТЬ ДОШКОЛЬНИКОВ К ШКОЛЬНОМУ ОБУЧЕНИЮ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  <w:r w:rsidRPr="00262F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AE59A6" w:rsidRPr="00262F50" w:rsidRDefault="00AE59A6" w:rsidP="00262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хапкина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Н.В.</w:t>
      </w:r>
    </w:p>
    <w:p w:rsidR="00262F50" w:rsidRPr="00262F50" w:rsidRDefault="00262F50" w:rsidP="00262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2F50" w:rsidRPr="00262F50" w:rsidRDefault="00262F50" w:rsidP="00262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Аннотация: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статье предоставлены результаты исследования, которые обосновывает актуальность проблемы интеллектуальной готовности дошкольников к школьному обучению.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Интеллектуальной готовностью предполагается у ребенка наличие кругозора и конкретных знаний. Ребенок должен владеть планомерным и расчлененным восприятием, элементами теоретического отношения к изучаемому материалу, обобщенными формами мышления и основными логическими операциями, смысловым запоминанием. Интеллектуальная готовность – это формирование у ребенка начальных умений в учебной деятельности, в частности, умение выделить учебную задачу, и при этом превращая её в самостоятельную цель деятельности. В отечественной психологии во время изучения интеллектуального компонента психологической готовности к школе акцентируется внимание не на сумме знаний, которые усвоены ребенком, а на уровень развития интеллектуальных процессов. Таким </w:t>
      </w:r>
      <w:proofErr w:type="gramStart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образом</w:t>
      </w:r>
      <w:proofErr w:type="gramEnd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ребенок должен уметь выделять существенное в явлениях окружающей действительности, уметь, видеть сходное и отличное, сравнивать их; он должен научиться находить причины явлений, рассуждать, делать выводы.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Наше психологическое исследование проходило на базе МАОУ СОШ №44, г. Екатеринбург. В исследование принимали участие дети дошкольного возраста, посещающие стартовую школу. Для проведения исследования были сформированы 2 выборки по 14 человек.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выявления интеллектуальной готовности дошкольников к школьному обучению мы использовали методики «Корректурная проба», «Какие предметы спрятаны в рисунках?», диагностика слуховой памяти «10 слов», «Вырежи фигуры». Результаты тестирования могут помочь вовремя заметить нарушения в </w:t>
      </w: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психическом развитии дошкольника и правильно составить коррекционную программу.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Ключевые слова:</w:t>
      </w: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интеллектуальная готовность, младший школьный возраст.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Введение: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Современной системой образования предъявляются особые усложнившиеся требования к детям. Поступление в школу – это переломный момент в жизни ребенка, в процесс его формирования как личности. С приходом в школу меняется образ жизни ребенка, устанавливаются новые отношения с окружающими людьми, выдвигаются новые задачи, а также складываются новые формы деятельности.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мнению исследователей, (Е. В Новикова, Л. Н. Винокуров и др.) </w:t>
      </w:r>
      <w:proofErr w:type="gramStart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из-за различных причин</w:t>
      </w:r>
      <w:proofErr w:type="gramEnd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дети, которые имеют проблемы в развитии, не могут безболезненно и быстро усваивать систему школьных требований, включаясь в учебный процесс [7]</w:t>
      </w:r>
      <w:r w:rsidRPr="00262F50">
        <w:rPr>
          <w:rFonts w:ascii="Times New Roman" w:eastAsia="Times New Roman" w:hAnsi="Times New Roman" w:cs="Times New Roman"/>
          <w:color w:val="6B717F"/>
          <w:sz w:val="32"/>
          <w:szCs w:val="32"/>
          <w:lang w:eastAsia="ru-RU"/>
        </w:rPr>
        <w:t>.</w:t>
      </w: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Тем самым это приводит к увеличению числа неуспевающих школьников.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Готовность ребенка к обучению в школе, и как следствие успешность его дальнейшего обучения обуславливается всем его предшествующим развитием. Для того чтобы он мог включаться в учебный процесс, во время дошкольного возраста должен быть выработан определенный уровень физического и умственного развития, должны быть достаточно широкими представления об окружающем мире. Но будет недостаточным лишь накопить необходимые знания, усвоить специальные навыки и умения, так как учение является деятельностью, которая предъявляет к личности особые требования. Чтобы учиться, необходимо обладать силой воли, терпением, умением критически относится к собственным неудачам и успехам, контролировать свои действия. Как итог ребенок должен осознать себя как субъект учебной деятельности и основываясь на этом пристраивать свое поведение [3; 10]</w:t>
      </w:r>
      <w:r w:rsidRPr="00262F50">
        <w:rPr>
          <w:rFonts w:ascii="Times New Roman" w:eastAsia="Times New Roman" w:hAnsi="Times New Roman" w:cs="Times New Roman"/>
          <w:color w:val="6B717F"/>
          <w:sz w:val="32"/>
          <w:szCs w:val="32"/>
          <w:lang w:eastAsia="ru-RU"/>
        </w:rPr>
        <w:t>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Интеллектуальной готовностью предполагается у ребенка наличие кругозора и конкретных знаний. Ребенок должен владеть планомерным и расчлененным восприятием, элементами теоретического отношения к изучаемому материалу, обобщенными </w:t>
      </w: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формами мышления и основными логическими операциями, смысловым запоминанием. Интеллектуальная готовность – это формирование у ребенка начальных умений в учебной деятельности, в частности, умение выделить учебную задачу, и при этом превращая её в самостоятельную цель деятельности [6]</w:t>
      </w:r>
      <w:r w:rsidRPr="00262F50">
        <w:rPr>
          <w:rFonts w:ascii="Times New Roman" w:eastAsia="Times New Roman" w:hAnsi="Times New Roman" w:cs="Times New Roman"/>
          <w:color w:val="6B717F"/>
          <w:sz w:val="32"/>
          <w:szCs w:val="32"/>
          <w:lang w:eastAsia="ru-RU"/>
        </w:rPr>
        <w:t>.</w:t>
      </w: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отечественной психологии во время изучения интеллектуального компонента психологической готовности к школе акцентируется внимание не на сумме знаний, которые усвоены ребенком, а на уровень развития интеллектуальных процессов. Таким образом, ребенок должен уметь выделять существенное в явлениях окружающей действительности, уметь, видеть сходное и отличное, сравнивать их; он должен научиться находить причины явлений, рассуждать, делать выводы.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Объект</w:t>
      </w: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исследования является психологическая готовность детей к обучению.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Предмет исследования</w:t>
      </w: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интеллектуальная готовность дошкольников к обучению.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Гипотеза исследования:</w:t>
      </w: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уровень интеллектуальной готовности детей посещающие дошкольные учреждения выше, чем уровень интеллектуальной готовности детей не посещающие детский сад.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 исследования</w:t>
      </w: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изучение интеллектуальной готовности дошкольников к обучению.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этого необходимо решить следующие </w:t>
      </w: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</w:t>
      </w: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выделить особенности интеллектуальной готовности у детей младшего школьного возраста;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провести психологическое исследование по выявлению особенностей интеллектуальной готовности у детей младшего школьного возраста</w:t>
      </w:r>
      <w:proofErr w:type="gramStart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;</w:t>
      </w:r>
      <w:proofErr w:type="gramEnd"/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предложить некоторые рекомендации, направленные на формирование интеллектуальной готовности младших школьников.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Практическая значимость исследования заключается в том, что его результаты могут быть использованы психологами и педагогами МАОУ СОШ №44, работающими с данной категорией детей.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Описание организации и методов исследования.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Исследование проводилось в МАОУ СОШ №44, г. Екатеринбурга. 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этой школе есть классы для подготовки к школе детей дошкольного возраста.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Нами для проведения исследования были сформированы 2 выборки по 14 человек (все дети посещают стартовую школу в МАОУ СОШ №44, г. Екатеринбург). Возраст детей составил 6 – 7 лет. Первая группа дети, посещающие детский сад. Вторая группа дети, не посещающие детский сад.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проведении исследования были соблюдены следующие условия: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 началом исследования я познакомилась и пообщалась со всеми учениками, дала им возможность привыкнуть ко мне. В это время все мои действия были направлены на установление контакта с детьми, создание между нами доверительных отношений, чтобы в ходе исследования, учащиеся могли чувствовать себя максимально комфортно, не бояться и были уверены в своих силах, для того, чтобы максимально полно продемонстрировать свои способности. 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проведения исследования нами использовались такие методы как анализа научной литературы, наблюдение, методы психодиагностики. Рассмотрим более детально использованные нами методы психодиагностики.</w:t>
      </w:r>
    </w:p>
    <w:p w:rsidR="00262F50" w:rsidRPr="00262F50" w:rsidRDefault="00262F50" w:rsidP="00262F5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Методика «Корректурная проба». Тест предназначен для исследования степени концентрации, устойчивости внимания. Тестирование проводится при помощи специального бланка, на котором расположены ряды букв (для детей дошкольного возраст используются картинки-символы).</w:t>
      </w:r>
    </w:p>
    <w:p w:rsidR="00262F50" w:rsidRPr="00262F50" w:rsidRDefault="00262F50" w:rsidP="00262F5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Методика</w:t>
      </w:r>
      <w:proofErr w:type="gramEnd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«Какие предметы спрятаны в рисунках?». Ребенку объясняют, что ему будут продемонстрированы несколько контурных рисунков, в которых «запрятаны» многие известные для него предметы. По результатам диагностики уровень развития внимания оценивается как очень высокий, высокий, средний, низкий или очень низкий.</w:t>
      </w:r>
    </w:p>
    <w:p w:rsidR="00262F50" w:rsidRPr="00262F50" w:rsidRDefault="00262F50" w:rsidP="00262F5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Диагностика слуховой памяти «10 слов» предназначена для оценки уровня развития памяти испытуемых, в частности, состояния памяти, утомляемости, активности внимания [6]</w:t>
      </w:r>
      <w:r w:rsidRPr="00262F50">
        <w:rPr>
          <w:rFonts w:ascii="Times New Roman" w:eastAsia="Times New Roman" w:hAnsi="Times New Roman" w:cs="Times New Roman"/>
          <w:color w:val="6B717F"/>
          <w:sz w:val="32"/>
          <w:szCs w:val="32"/>
          <w:lang w:eastAsia="ru-RU"/>
        </w:rPr>
        <w:t>.</w:t>
      </w:r>
    </w:p>
    <w:p w:rsidR="00262F50" w:rsidRDefault="00262F50" w:rsidP="00262F5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Методика «Вырежи фигуры». Методика предназначается для психодиагностики наглядно-действенного мышления детей в возрасте от 4 до 5 лет. В ходе оценивания полученных результатов в данной методике учитываются время и точность выполнения ребенком задания. По результатам диагностики уровень развития </w:t>
      </w: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наглядно-действенного мышления оценивается как очень высокий, высокий, средний, низкий, очень низкий.</w:t>
      </w:r>
    </w:p>
    <w:p w:rsid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Описание результатов исследования.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Представим результаты диагностики, проведенной в экспериментальной и контрольной выборках по выбранным нами методикам.</w:t>
      </w:r>
      <w:proofErr w:type="gramEnd"/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ходе диагностики по методике «Корректурная проба» были получены такие результаты (таблица 2.1):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Таблица 2.1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Результаты диагностики концентрации и устойчивости внимания по методике «Корректурная проба» (констатирующий этап)</w:t>
      </w:r>
    </w:p>
    <w:p w:rsidR="00262F50" w:rsidRPr="00262F50" w:rsidRDefault="00262F50" w:rsidP="00262F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Выборка 1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Концентрация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Устойчивость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Выборка 2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Концентрация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Устойчивость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Сергей С.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Андрей К.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Леонид Д.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Андрей Я.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Иван М.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Вероника К.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Иван Х.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Ангелина М.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Георгий Н.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Екатерина Д.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 </w:t>
      </w:r>
      <w:proofErr w:type="spellStart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Риана</w:t>
      </w:r>
      <w:proofErr w:type="spellEnd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Ярослав Ж.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Захар Ш.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Кристина Ш.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Даниил П.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Ксения Г.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Софья К.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Пелагея В.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Мария К.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Кирилл П.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11. </w:t>
      </w:r>
      <w:proofErr w:type="spellStart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Фаган</w:t>
      </w:r>
      <w:proofErr w:type="spellEnd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 Анастасия Г.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 Маргарита С.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 Вячеслав Ф.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 Софья Ф.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 Варвара Х.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14. Георгий О.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14. Максим В.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Таким образом, мы видим, что в выборке 1 высокий уровень концентрации внимания наблюдается у 3 человек (22%), средний – у 5 человек (36%), низкий – у 6 человек (43%). В выборке 2 высокий уровень концентрации внимания наблюдается у 4 человек (29%), средний – у 6 человек (42%), низкий – у 4 человек (29%). В выборке 2 высокий уровень развития устойчивости внимания наблюдается у 3 человек (22%), средний – у 5 человек (36%), низкий – у 6 человек (43%).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Представим полученные результаты в диаграмме (рисунок 2.1).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</w:p>
    <w:p w:rsidR="00262F50" w:rsidRPr="00262F50" w:rsidRDefault="00262F50" w:rsidP="00262F5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Рисунок 2.1 Результаты диагностики концентрации и устойчивости внимания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Рассмотрим результаты, полученные в ходе диагностики по методике «Какие предметы спрятаны в рисунках?» (таблица 2.2.).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62F50" w:rsidRPr="00262F50" w:rsidRDefault="00262F50" w:rsidP="00262F5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Таблица 2.2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Результаты диагностики уровня развития внимания по </w:t>
      </w:r>
      <w:proofErr w:type="gramStart"/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методике</w:t>
      </w:r>
      <w:proofErr w:type="gramEnd"/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«Какие предметы спрятаны в рисунках?»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62F50" w:rsidRPr="00262F50" w:rsidRDefault="00262F50" w:rsidP="00262F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Выборка 1</w:t>
      </w:r>
    </w:p>
    <w:p w:rsidR="00262F50" w:rsidRPr="00262F50" w:rsidRDefault="00262F50" w:rsidP="00262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Уровень</w:t>
      </w:r>
    </w:p>
    <w:p w:rsidR="00262F50" w:rsidRPr="00262F50" w:rsidRDefault="00262F50" w:rsidP="00262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Выборка 2</w:t>
      </w:r>
    </w:p>
    <w:p w:rsidR="00262F50" w:rsidRPr="00262F50" w:rsidRDefault="00262F50" w:rsidP="00262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Уровень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Сергей С.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Андрей К.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Леонид Д.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Андрей Я.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Иван М.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Вероника К.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Иван Х.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Ангелина М.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Георгий Н.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Екатерина Д.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6. </w:t>
      </w:r>
      <w:proofErr w:type="spellStart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Риана</w:t>
      </w:r>
      <w:proofErr w:type="spellEnd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Ярослав Ж.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Захар Ш.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Кристина Ш.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Даниил П.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Ксения Г.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Софья К.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Пелагея В.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Мария К.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Кирилл П.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11. </w:t>
      </w:r>
      <w:proofErr w:type="spellStart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Фаган</w:t>
      </w:r>
      <w:proofErr w:type="spellEnd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 Анастасия Г.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 Маргарита С.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 Вячеслав Ф.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 Софья Ф.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 Варвара Х.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14. Георгий О.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14. Максим В.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Таким образом, мы можем увидеть, что очень высокий уровень развития внимания в выборке 1 не наблюдается ни у одного из испытуемых (0%), высокий уровень продемонстрировал 1 ребенок (7%), средний – 6 детей (43%), низкий – 3 человека (21%), и очень низкий – 4 человека (29%). В выборке 2 очень высокий уровень был выявлен у 1 испытуемого (6%), высокий – у 3 испытуемых (19%), средний – у 6 испытуемых (37%), низкий – у 3 испытуемых (20%), очень низкий – у 2 детей (13%). Представим полученные результаты в диаграмме (рисунок 2.2.).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62F50" w:rsidRPr="00262F50" w:rsidRDefault="00262F50" w:rsidP="00262F5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Рисунок 2.2 Результаты диагностики уровня развития внимания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ходе диагностики по методике Диагностика слуховой памяти «10 слов» были получены данные об уровне развития слуховой памяти испытуемых (таблица 2.3).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Таблица 2.3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Результаты диагностики уровня развития слуховой памяти</w:t>
      </w:r>
    </w:p>
    <w:p w:rsidR="00262F50" w:rsidRPr="00262F50" w:rsidRDefault="00262F50" w:rsidP="00262F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Выборка 1</w:t>
      </w:r>
    </w:p>
    <w:p w:rsidR="00262F50" w:rsidRPr="00262F50" w:rsidRDefault="00262F50" w:rsidP="00262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Уровень</w:t>
      </w:r>
    </w:p>
    <w:p w:rsidR="00262F50" w:rsidRPr="00262F50" w:rsidRDefault="00262F50" w:rsidP="00262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Выборка 2</w:t>
      </w:r>
    </w:p>
    <w:p w:rsidR="00262F50" w:rsidRPr="00262F50" w:rsidRDefault="00262F50" w:rsidP="00262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Уровень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Сергей С.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Андрей К.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нормальный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Леонид Д.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нормальный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Андрей Я.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Иван М.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Вероника К.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нормальный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Иван Х.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Ангелина М.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нормальный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Георгий Н.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нормальный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Екатерина Д.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нормальный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 </w:t>
      </w:r>
      <w:proofErr w:type="spellStart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Риана</w:t>
      </w:r>
      <w:proofErr w:type="spellEnd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Ярослав Ж.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Захар Ш.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Кристина Ш.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Даниил П.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нормальный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Ксения Г.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Софья К.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нормальный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Пелагея В.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Мария К.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Кирилл П.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нормальный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11. </w:t>
      </w:r>
      <w:proofErr w:type="spellStart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Фаган</w:t>
      </w:r>
      <w:proofErr w:type="spellEnd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 Анастасия Г.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 Маргарита С.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 Вячеслав Ф.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 Софья Ф.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 Варвара Х.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14. Георгий О.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нормальный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14. Максим В.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таблицы 2.3 мы видим, что высокий уровень развития слуховой памяти в выборке 1 наблюдается у 3 человек (21%), нормальный – у 4 человек (29%), низкий - у 7 человек (50%). В выборке 2 высокий уровень слуховой памяти был диагностирован у 4 человек (29%), нормальный – у 4 человек (29%), низкий – у 6 человек (42%). Представим полученные результаты в диаграмме (рисунок 2.3.).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62F50" w:rsidRPr="00262F50" w:rsidRDefault="00262F50" w:rsidP="00262F5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Рисунок 2.3 Результаты диагностики развития слуховой памяти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Представим результаты, полученные в ходе диагностики по методике «Вырежи фигуры» (таблица 2.4).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Таблица 2.4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Результаты диагностики уровня развития наглядно-действенного мышления (констатирующий этап)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62F50" w:rsidRPr="00262F50" w:rsidRDefault="00262F50" w:rsidP="00262F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Экспериментальная</w:t>
      </w:r>
    </w:p>
    <w:p w:rsidR="00262F50" w:rsidRPr="00262F50" w:rsidRDefault="00262F50" w:rsidP="00262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Уровень</w:t>
      </w:r>
    </w:p>
    <w:p w:rsidR="00262F50" w:rsidRPr="00262F50" w:rsidRDefault="00262F50" w:rsidP="00262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Контрольная</w:t>
      </w:r>
    </w:p>
    <w:p w:rsidR="00262F50" w:rsidRPr="00262F50" w:rsidRDefault="00262F50" w:rsidP="00262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Уровень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Сергей С.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Андрей К.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Леонид Д.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Андрей Я.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Иван М.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Вероника К.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Иван Х.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Ангелина М.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5. Георгий Н.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Екатерина Д.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 </w:t>
      </w:r>
      <w:proofErr w:type="spellStart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Риана</w:t>
      </w:r>
      <w:proofErr w:type="spellEnd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Ярослав Ж.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Захар Ш.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Кристина Ш.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Даниил П.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Ксения Г.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Софья К.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Пелагея В.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Мария К.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Кирилл П.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11. </w:t>
      </w:r>
      <w:proofErr w:type="spellStart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Фаган</w:t>
      </w:r>
      <w:proofErr w:type="spellEnd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 Анастасия Г.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 Маргарита С.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 Вячеслав Ф.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 Софья Ф.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 Варвара Х.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низкий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14. Георгий О.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высокий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14. Максим В.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средний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данной методике очень высокий уровень наглядно действенного мышления в выборке 1 не был обнаружен ни у одного испытуемого (0%), высокий уровень был выявлен у 3 детей (21%), средний – у 4 детей (29%), низкий – у 5 детей (36%), очень низкий – у 2 детей (14%). В выборке 2 результаты были следующими: очень высокий уровень – 1 испытуемый (7%), высокий – 2 испытуемых (14%), средний – 7 испытуемых (51%), низкий – 2 испытуемых (14%), очень низкий – 2 испытуемых (14%). Представим полученные результаты в диаграмме (рисунок 2.4.)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62F50" w:rsidRPr="00262F50" w:rsidRDefault="00262F50" w:rsidP="00262F5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коррекционной работы по формированию интеллектуальной готовности к школьному обучению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2F50" w:rsidRPr="00262F50" w:rsidRDefault="00262F50" w:rsidP="00262F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Интеллектуальный компонент школьной готовности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улучшение моторики, координации движений кистей, пальцев рук детей;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совершенствование речи и расширение словарного запаса;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развитие воображения, логического мышления, произвольного внимания, зрительного и слухового восприятия, творческой активности;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совершенствование развивающей предметно-пространственной среды группы (использование картотек, пособий, игр из природного и бросового материала).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Также, в соответствии с выделенными нами психолого-педагогическими условиями успешного формирования психологической готовности детей к обучению в школе, мы считаем необходимым разделение всех игр и дидактических заданий, применяемых в процессе коррекционной работы, по уровням (легкие игры, игры средней сложности, сложные игры) [3]. Это позволит учитывать индивидуальные возможности каждого ребенка (игры будут предлагаться детям исходя из результатов диагностики), а также создавать ситуации успеха, когда ребенок не сталкивается с непосильным для него заданием, и, соответственно, не утрачивает мотивацию к его выполнению, что позволило </w:t>
      </w: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формировать у детей адекватную самооценку и повышать интерес к обучению [8]</w:t>
      </w:r>
      <w:r w:rsidRPr="00262F50">
        <w:rPr>
          <w:rFonts w:ascii="Times New Roman" w:eastAsia="Times New Roman" w:hAnsi="Times New Roman" w:cs="Times New Roman"/>
          <w:color w:val="6B717F"/>
          <w:sz w:val="32"/>
          <w:szCs w:val="32"/>
          <w:lang w:eastAsia="ru-RU"/>
        </w:rPr>
        <w:t>.</w:t>
      </w: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Содержание игр и дидактических заданий по уровням сложности представлено в таблице 2.7.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Таблица 2.7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Характеристика игр и дидактических </w:t>
      </w:r>
      <w:proofErr w:type="gramStart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заданий</w:t>
      </w:r>
      <w:proofErr w:type="gramEnd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используемых в процессе повышения уровня психологической готовности детей к школе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Легкие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Средней сложности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Сложные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 в образовательной деятельности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«Назови и отгадай»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«Выдели слово»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«Магазин»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«Что в мешочке»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«Мы со звуками играем»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«Первый и последний звук в слове»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«Паровозик и вагончики»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«Дикие и домашние животные»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«Помоги художнику»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«Продолжи игру»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gramStart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Правильно-неправильно</w:t>
      </w:r>
      <w:proofErr w:type="gramEnd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«Грибочки в корзинки»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«Состав числа»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«Рассели по домикам»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«Помоги зайцам»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«Поезд»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«Построй картинку при помощи счетных палочек»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«Бабочки»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«Найди гномиков по их адресу»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«Отгадай сказку» (размытые картинки)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 в процессе режимных моментов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«Угадай, кто кричит»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«Подарки»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«Подберем игрушку»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«Покорми клоуна»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«Три медведя»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«Похожие слова»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«Отгадай»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«Угадай-ка»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«Кто больше»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«Какие предметы спрятаны в рисунках?»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«Какой детали не хватает?»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Самостоятельная деятельность детей (настольные дидактические игры)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«Найди звук»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«Подсолнух»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«Вершки и корешки»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«Аквариум»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«Рыболов»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«Домино»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«Найди заплатку»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«Подбери картинку» (растительный и животный мир)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«Похожие слова»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«Парные картинки»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«Тень»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Судоку</w:t>
      </w:r>
      <w:proofErr w:type="spellEnd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262F50" w:rsidRPr="00262F50" w:rsidRDefault="00262F50" w:rsidP="0026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«Сказочные заплатки»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должна быть построена с учетом таких принципов как: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Принцип целенаправленности.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Принцип систематичности и последовательности.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Принцип </w:t>
      </w:r>
      <w:proofErr w:type="spellStart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интегрированности</w:t>
      </w:r>
      <w:proofErr w:type="spellEnd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Принцип адаптивности.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5.Принцип прочности.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Вывод.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Проведенная диагностика показала, что дети, как первой, так и второй выборки, имеют недостаточный уровень </w:t>
      </w:r>
      <w:proofErr w:type="spellStart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сформированности</w:t>
      </w:r>
      <w:proofErr w:type="spellEnd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различных компонентов школьной готовности, таких как память, внимание, мышление. В то же время, именно данные качества являются важными составляющими будущей успешности школьного обучения. Таким образом, в процессе коррекционной работы по формированию интеллектуальной готовности к школе у дошкольников должны быть в полной мере реализованы выделенные в процессе теоретического анализа психолого-педагогические условия успешного формирования данного </w:t>
      </w: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качества. </w:t>
      </w:r>
      <w:proofErr w:type="gramStart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Гипотеза, предложенная в начале исследования не подтвердилась</w:t>
      </w:r>
      <w:proofErr w:type="gramEnd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Проведенный нами теоретический анализ особенностей интеллектуальной готовности дошкольников к обучению в школе продемонстрировал, что поступление в школу - переломный момент в жизни ребенка, переход к новому образу жизни и условиям деятельности, новому положению в обществе, новым отношениям </w:t>
      </w:r>
      <w:proofErr w:type="gramStart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</w:t>
      </w:r>
      <w:proofErr w:type="gramEnd"/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взрослыми и сверстниками. К моменту поступления в школу ребенок должен обладать определенным уровнем общего развития. Это и интеллектуальное развитие, и компоненты личностной готовности, и наличие предпосылок учебной деятельности, произвольность.</w:t>
      </w:r>
    </w:p>
    <w:p w:rsidR="00262F50" w:rsidRPr="00262F50" w:rsidRDefault="00262F50" w:rsidP="00262F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2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Проблема интеллектуальной готовности детей к школе является комплексной. Чтобы удовлетворять требованиям современной школы, нужны и знания, и умения, и желание учиться, и способность устанавливать содержательные контакты с учителями и сверстниками и многое другое; целый набор психологических свойств и качеств. В связи с этим является крайне важной целенаправленная работа по формированию всех компонентов психологической готовности, а также своевременное выявление детей, испытывающих трудности в формировании этого качества.</w:t>
      </w:r>
    </w:p>
    <w:p w:rsidR="006E20F8" w:rsidRDefault="006E20F8"/>
    <w:sectPr w:rsidR="006E20F8" w:rsidSect="006E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7845"/>
    <w:multiLevelType w:val="multilevel"/>
    <w:tmpl w:val="5636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F50"/>
    <w:rsid w:val="001C5157"/>
    <w:rsid w:val="00262F50"/>
    <w:rsid w:val="006E20F8"/>
    <w:rsid w:val="0079555A"/>
    <w:rsid w:val="0099127D"/>
    <w:rsid w:val="00AE59A6"/>
    <w:rsid w:val="00B34CB5"/>
    <w:rsid w:val="00CF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9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91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админ</cp:lastModifiedBy>
  <cp:revision>4</cp:revision>
  <dcterms:created xsi:type="dcterms:W3CDTF">2020-03-16T10:41:00Z</dcterms:created>
  <dcterms:modified xsi:type="dcterms:W3CDTF">2023-08-29T14:36:00Z</dcterms:modified>
</cp:coreProperties>
</file>